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3124-2003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 Постовалова Т.П.,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исполняющая обязанности мирового судьи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ООО ПКО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Times New Roman" w:hAnsi="Times New Roman" w:cs="Times New Roman"/>
          <w:sz w:val="26"/>
          <w:szCs w:val="26"/>
        </w:rPr>
        <w:t>1831167427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Грищенко Николаю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взыскании задолженности по договору займа, руководствуясь ст. ст. 194-199, 235 ГПК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Грищенко Николаю Александровичу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займа,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Грищенко Николая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займа № </w:t>
      </w:r>
      <w:r>
        <w:rPr>
          <w:rStyle w:val="cat-UserDefinedgrp-1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22.08.2015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17.10.2015 по 29.05.2018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неустойку в размере 16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047,65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оплату государственной пошлины а размере 642 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всего: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шестнадцать тысяч шестьсот восемьдесят девять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 Ответчик вправе подать в суд, принявший заочное решение, заявление об отмене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160" w:line="252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ExternalSystemDefinedgrp-18rplc-10">
    <w:name w:val="cat-ExternalSystemDefined grp-18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